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7C91" w14:textId="77777777" w:rsidR="005F5258" w:rsidRDefault="005F5258" w:rsidP="005F5258">
      <w:pPr>
        <w:spacing w:after="0" w:line="240" w:lineRule="auto"/>
        <w:rPr>
          <w:rFonts w:ascii="Arial" w:eastAsia="Times New Roman" w:hAnsi="Arial" w:cs="Arial"/>
          <w:b/>
          <w:bCs/>
          <w:sz w:val="30"/>
          <w:szCs w:val="30"/>
        </w:rPr>
      </w:pPr>
      <w:r>
        <w:rPr>
          <w:rFonts w:ascii="inherit" w:hAnsi="inherit"/>
          <w:b/>
          <w:bCs/>
          <w:color w:val="00B8E4"/>
          <w:sz w:val="44"/>
          <w:szCs w:val="36"/>
        </w:rPr>
        <w:t xml:space="preserve">Bezpieczeństwo oszczędności </w:t>
      </w:r>
    </w:p>
    <w:p w14:paraId="4595B319" w14:textId="77777777" w:rsidR="005F5258" w:rsidRDefault="005F5258" w:rsidP="005F5258">
      <w:pPr>
        <w:spacing w:after="0" w:line="240" w:lineRule="auto"/>
        <w:rPr>
          <w:rFonts w:ascii="Arial" w:eastAsia="Times New Roman" w:hAnsi="Arial" w:cs="Arial"/>
          <w:b/>
          <w:bCs/>
          <w:sz w:val="30"/>
          <w:szCs w:val="30"/>
          <w:lang w:eastAsia="en-GB"/>
        </w:rPr>
      </w:pPr>
    </w:p>
    <w:p w14:paraId="40FF844C" w14:textId="77777777" w:rsidR="00E71353" w:rsidRDefault="00E71353" w:rsidP="00E71353">
      <w:pPr>
        <w:spacing w:after="0" w:line="240" w:lineRule="auto"/>
        <w:rPr>
          <w:rFonts w:ascii="Arial" w:hAnsi="Arial"/>
          <w:bCs/>
          <w:sz w:val="30"/>
          <w:szCs w:val="30"/>
        </w:rPr>
      </w:pPr>
      <w:r w:rsidRPr="00E71353">
        <w:rPr>
          <w:rFonts w:ascii="Arial" w:hAnsi="Arial"/>
          <w:bCs/>
          <w:sz w:val="30"/>
          <w:szCs w:val="30"/>
        </w:rPr>
        <w:t>Program The People’s Pension Scheme (określany jako „The People’s Pension” lub po prostu „Program”) to jest pracowniczym programem emerytalnym z określoną składką. Program otrzymał zezwolenie od Urzędu Nadzoru Programów Emerytalnych, The Pensions Regulator na prowadzenie działalności jako program emerytalny typu master trust zgodnie z przepisami regulującymi takie programy.</w:t>
      </w:r>
    </w:p>
    <w:p w14:paraId="021213D0" w14:textId="77777777" w:rsidR="00E71353" w:rsidRPr="00E71353" w:rsidRDefault="00E71353" w:rsidP="00E71353">
      <w:pPr>
        <w:spacing w:after="0" w:line="240" w:lineRule="auto"/>
        <w:rPr>
          <w:rFonts w:ascii="Arial" w:hAnsi="Arial"/>
          <w:bCs/>
          <w:sz w:val="30"/>
          <w:szCs w:val="30"/>
        </w:rPr>
      </w:pPr>
    </w:p>
    <w:p w14:paraId="25832889" w14:textId="77777777" w:rsidR="00E71353" w:rsidRDefault="00E71353" w:rsidP="00E71353">
      <w:pPr>
        <w:spacing w:after="0" w:line="240" w:lineRule="auto"/>
        <w:rPr>
          <w:rFonts w:ascii="Arial" w:hAnsi="Arial"/>
          <w:bCs/>
          <w:sz w:val="30"/>
          <w:szCs w:val="30"/>
        </w:rPr>
      </w:pPr>
      <w:r w:rsidRPr="00E71353">
        <w:rPr>
          <w:rFonts w:ascii="Arial" w:hAnsi="Arial"/>
          <w:bCs/>
          <w:sz w:val="30"/>
          <w:szCs w:val="30"/>
        </w:rPr>
        <w:t>Operatorem programu jest podmiot People's Partnership Limited. Jest częścią People's Partnership Group, grupy firm działających na zasadzie non-profit, która obsługuje produkty finansowe i dostarczy korzyści dla osób pracujących.</w:t>
      </w:r>
    </w:p>
    <w:p w14:paraId="1FCC5C47" w14:textId="77777777" w:rsidR="00E71353" w:rsidRPr="00E71353" w:rsidRDefault="00E71353" w:rsidP="00E71353">
      <w:pPr>
        <w:spacing w:after="0" w:line="240" w:lineRule="auto"/>
        <w:rPr>
          <w:rFonts w:ascii="Arial" w:hAnsi="Arial"/>
          <w:bCs/>
          <w:sz w:val="30"/>
          <w:szCs w:val="30"/>
        </w:rPr>
      </w:pPr>
    </w:p>
    <w:p w14:paraId="1A867D46" w14:textId="4ABE1B6D" w:rsidR="005F5258" w:rsidRPr="005F5258" w:rsidRDefault="00E71353" w:rsidP="00E71353">
      <w:pPr>
        <w:spacing w:after="0" w:line="240" w:lineRule="auto"/>
        <w:rPr>
          <w:rFonts w:ascii="Arial" w:eastAsia="Times New Roman" w:hAnsi="Arial" w:cs="Arial"/>
          <w:sz w:val="30"/>
          <w:szCs w:val="30"/>
        </w:rPr>
      </w:pPr>
      <w:r w:rsidRPr="00E71353">
        <w:rPr>
          <w:rFonts w:ascii="Arial" w:hAnsi="Arial"/>
          <w:bCs/>
          <w:sz w:val="30"/>
          <w:szCs w:val="30"/>
        </w:rPr>
        <w:t>Twój pracodawca jest jednym z wielu, który używa tego Programu jako zakładowego systemu emerytalnego.</w:t>
      </w:r>
      <w:r w:rsidR="005F5258">
        <w:rPr>
          <w:rFonts w:ascii="Arial" w:hAnsi="Arial"/>
          <w:b/>
          <w:bCs/>
          <w:sz w:val="30"/>
          <w:szCs w:val="30"/>
        </w:rPr>
        <w:br/>
      </w:r>
      <w:hyperlink r:id="rId5" w:history="1"/>
    </w:p>
    <w:p w14:paraId="34809A5B"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Informacje ogólne</w:t>
      </w:r>
      <w:r>
        <w:rPr>
          <w:rFonts w:ascii="Tahoma" w:hAnsi="Tahoma"/>
          <w:b/>
          <w:bCs/>
          <w:color w:val="00B8E4"/>
          <w:sz w:val="36"/>
          <w:szCs w:val="36"/>
        </w:rPr>
        <w:t>﻿</w:t>
      </w:r>
    </w:p>
    <w:p w14:paraId="5728ACD4" w14:textId="77777777" w:rsidR="000A3E1F" w:rsidRPr="000A3E1F" w:rsidRDefault="000A3E1F" w:rsidP="000A3E1F">
      <w:pPr>
        <w:spacing w:after="100" w:afterAutospacing="1" w:line="240" w:lineRule="auto"/>
        <w:outlineLvl w:val="1"/>
        <w:rPr>
          <w:rFonts w:ascii="Times New Roman" w:hAnsi="Times New Roman"/>
          <w:color w:val="5F6062"/>
          <w:sz w:val="24"/>
          <w:szCs w:val="24"/>
        </w:rPr>
      </w:pPr>
      <w:r w:rsidRPr="000A3E1F">
        <w:rPr>
          <w:rFonts w:ascii="Times New Roman" w:hAnsi="Times New Roman"/>
          <w:color w:val="5F6062"/>
          <w:sz w:val="24"/>
          <w:szCs w:val="24"/>
        </w:rPr>
        <w:t>Program jest utworzony pod zarządem powierniczym, więc pula emerytalna i aktywa Programu są oddzielone od aktywów pracodawcy i People's Partnership. Zapewnia to bezpieczeństwo pieniędzy. Więcej informacji, patrz „Co zrobić, jeśli coś pójdzie nie tak?”.</w:t>
      </w:r>
    </w:p>
    <w:p w14:paraId="66EA22A7" w14:textId="77777777" w:rsidR="00AC3AC2" w:rsidRDefault="000A3E1F" w:rsidP="000A3E1F">
      <w:pPr>
        <w:spacing w:after="100" w:afterAutospacing="1" w:line="240" w:lineRule="auto"/>
        <w:rPr>
          <w:rFonts w:ascii="Times New Roman" w:hAnsi="Times New Roman"/>
          <w:color w:val="5F6062"/>
          <w:sz w:val="24"/>
          <w:szCs w:val="24"/>
        </w:rPr>
      </w:pPr>
      <w:r w:rsidRPr="000A3E1F">
        <w:rPr>
          <w:rFonts w:ascii="Times New Roman" w:hAnsi="Times New Roman"/>
          <w:color w:val="5F6062"/>
          <w:sz w:val="24"/>
          <w:szCs w:val="24"/>
        </w:rPr>
        <w:t>Spółka People’s Pension Trustee Limited (Powiernik) jest odpowiedzialna za prowadzenie systemu zgodnie z obowiązującymi prawem i regulaminem. Wszyscy jej dyrektorzy są niezależni od People's Partnership. Powiernik jest również odpowiedzialny za inwestowanie puli emerytalnej, zgodnie z instrukcjami udzielonymi przez użytkownika. Obowiązkiem Powiernika jest działanie w najlepszym interesie członków programu i innych beneficjentów.</w:t>
      </w:r>
    </w:p>
    <w:p w14:paraId="54035978" w14:textId="52FA49B2" w:rsidR="005F5258" w:rsidRDefault="00C35D80" w:rsidP="000A3E1F">
      <w:pPr>
        <w:spacing w:after="100" w:afterAutospacing="1" w:line="240" w:lineRule="auto"/>
        <w:rPr>
          <w:rFonts w:ascii="Times New Roman" w:hAnsi="Times New Roman"/>
          <w:color w:val="03667E"/>
          <w:sz w:val="24"/>
          <w:szCs w:val="24"/>
          <w:u w:val="single"/>
          <w:lang w:val="en-GB"/>
        </w:rPr>
      </w:pPr>
      <w:hyperlink r:id="rId6" w:history="1">
        <w:r w:rsidR="00B03FFB" w:rsidRPr="0015644A">
          <w:rPr>
            <w:rFonts w:ascii="Times New Roman" w:hAnsi="Times New Roman"/>
            <w:color w:val="03667E"/>
            <w:sz w:val="24"/>
            <w:szCs w:val="24"/>
            <w:u w:val="single"/>
            <w:lang w:val="en-GB"/>
          </w:rPr>
          <w:t>Poznaj The People’s Pension Trustee</w:t>
        </w:r>
      </w:hyperlink>
    </w:p>
    <w:p w14:paraId="795873F1" w14:textId="77777777" w:rsidR="0017081B" w:rsidRPr="0017081B" w:rsidRDefault="0017081B" w:rsidP="0017081B">
      <w:pPr>
        <w:spacing w:after="100" w:afterAutospacing="1" w:line="240" w:lineRule="auto"/>
        <w:rPr>
          <w:rFonts w:ascii="Times New Roman" w:eastAsia="Times New Roman" w:hAnsi="Times New Roman" w:cs="Times New Roman"/>
          <w:color w:val="5F6062"/>
          <w:sz w:val="24"/>
          <w:szCs w:val="24"/>
          <w:lang w:val="en-GB"/>
        </w:rPr>
      </w:pPr>
      <w:r w:rsidRPr="0017081B">
        <w:rPr>
          <w:rFonts w:ascii="Times New Roman" w:eastAsia="Times New Roman" w:hAnsi="Times New Roman" w:cs="Times New Roman"/>
          <w:color w:val="5F6062"/>
          <w:sz w:val="24"/>
          <w:szCs w:val="24"/>
          <w:lang w:val="en-GB"/>
        </w:rPr>
        <w:t>People's Administration Services Limited (inna spółka w ramach People's Partnership) jest odpowiedzialna za obsługę funduszy w roli fundatora programu, w przypadku gdy koszty nie zostaną pokryte w inny sposób, zgodnie z wymogami autoryzacji funduszu powierniczego. Musi utrzymywać wystarczające rezerwy finansowe, a Urząd Nadzoru Programów Emerytalnych zapewnia, że spełnia te wymagania.</w:t>
      </w:r>
    </w:p>
    <w:p w14:paraId="27D515C5" w14:textId="7742CFD3" w:rsidR="00C35D80" w:rsidRDefault="0017081B" w:rsidP="0017081B">
      <w:pPr>
        <w:spacing w:after="100" w:afterAutospacing="1" w:line="240" w:lineRule="auto"/>
        <w:rPr>
          <w:rFonts w:ascii="Times New Roman" w:eastAsia="Times New Roman" w:hAnsi="Times New Roman" w:cs="Times New Roman"/>
          <w:color w:val="5F6062"/>
          <w:sz w:val="24"/>
          <w:szCs w:val="24"/>
          <w:lang w:val="en-GB"/>
        </w:rPr>
      </w:pPr>
      <w:r w:rsidRPr="0017081B">
        <w:rPr>
          <w:rFonts w:ascii="Times New Roman" w:eastAsia="Times New Roman" w:hAnsi="Times New Roman" w:cs="Times New Roman"/>
          <w:color w:val="5F6062"/>
          <w:sz w:val="24"/>
          <w:szCs w:val="24"/>
          <w:lang w:val="en-GB"/>
        </w:rPr>
        <w:t>Powiernik wyznaczył również podmiot People's Administration Services Limited do bieżącego administrowania programem.</w:t>
      </w:r>
    </w:p>
    <w:p w14:paraId="592BCC75" w14:textId="77777777" w:rsidR="00C35D80" w:rsidRDefault="00C35D80">
      <w:pPr>
        <w:rPr>
          <w:rFonts w:ascii="Times New Roman" w:eastAsia="Times New Roman" w:hAnsi="Times New Roman" w:cs="Times New Roman"/>
          <w:color w:val="5F6062"/>
          <w:sz w:val="24"/>
          <w:szCs w:val="24"/>
          <w:lang w:val="en-GB"/>
        </w:rPr>
      </w:pPr>
      <w:r>
        <w:rPr>
          <w:rFonts w:ascii="Times New Roman" w:eastAsia="Times New Roman" w:hAnsi="Times New Roman" w:cs="Times New Roman"/>
          <w:color w:val="5F6062"/>
          <w:sz w:val="24"/>
          <w:szCs w:val="24"/>
          <w:lang w:val="en-GB"/>
        </w:rPr>
        <w:br w:type="page"/>
      </w:r>
    </w:p>
    <w:p w14:paraId="1F8C21F8" w14:textId="77777777" w:rsidR="005F5258" w:rsidRPr="0015644A" w:rsidRDefault="005F5258" w:rsidP="005F5258">
      <w:pPr>
        <w:spacing w:after="100" w:afterAutospacing="1" w:line="240" w:lineRule="auto"/>
        <w:outlineLvl w:val="1"/>
        <w:rPr>
          <w:rFonts w:ascii="inherit" w:eastAsia="Times New Roman" w:hAnsi="inherit" w:cs="Times New Roman"/>
          <w:b/>
          <w:bCs/>
          <w:color w:val="00B8E4"/>
          <w:sz w:val="36"/>
          <w:szCs w:val="36"/>
          <w:lang w:val="en-GB"/>
        </w:rPr>
      </w:pPr>
      <w:r w:rsidRPr="0015644A">
        <w:rPr>
          <w:rFonts w:ascii="inherit" w:hAnsi="inherit"/>
          <w:b/>
          <w:bCs/>
          <w:color w:val="00B8E4"/>
          <w:sz w:val="36"/>
          <w:szCs w:val="36"/>
          <w:lang w:val="en-GB"/>
        </w:rPr>
        <w:lastRenderedPageBreak/>
        <w:t>Regulacja</w:t>
      </w:r>
      <w:r>
        <w:rPr>
          <w:rFonts w:ascii="Tahoma" w:hAnsi="Tahoma"/>
          <w:b/>
          <w:bCs/>
          <w:color w:val="00B8E4"/>
          <w:sz w:val="36"/>
          <w:szCs w:val="36"/>
        </w:rPr>
        <w:t>﻿</w:t>
      </w:r>
    </w:p>
    <w:p w14:paraId="6F75D9C5" w14:textId="77777777" w:rsidR="007C531B" w:rsidRPr="007C531B" w:rsidRDefault="007C531B" w:rsidP="007C531B">
      <w:pPr>
        <w:spacing w:after="100" w:afterAutospacing="1" w:line="240" w:lineRule="auto"/>
        <w:outlineLvl w:val="1"/>
        <w:rPr>
          <w:rFonts w:ascii="Times New Roman" w:hAnsi="Times New Roman"/>
          <w:color w:val="5F6062"/>
          <w:sz w:val="24"/>
          <w:szCs w:val="24"/>
        </w:rPr>
      </w:pPr>
      <w:r w:rsidRPr="007C531B">
        <w:rPr>
          <w:rFonts w:ascii="Times New Roman" w:hAnsi="Times New Roman"/>
          <w:color w:val="5F6062"/>
          <w:sz w:val="24"/>
          <w:szCs w:val="24"/>
        </w:rPr>
        <w:t>Ustawa emerytalna, z którą musi być zgodny program, jest obszerna i zawiera szereg wymogów dotyczących ochrony członków.</w:t>
      </w:r>
    </w:p>
    <w:p w14:paraId="173051A1" w14:textId="77777777" w:rsidR="007C531B" w:rsidRPr="007C531B" w:rsidRDefault="007C531B" w:rsidP="007C531B">
      <w:pPr>
        <w:spacing w:after="100" w:afterAutospacing="1" w:line="240" w:lineRule="auto"/>
        <w:outlineLvl w:val="1"/>
        <w:rPr>
          <w:rFonts w:ascii="Times New Roman" w:hAnsi="Times New Roman"/>
          <w:color w:val="5F6062"/>
          <w:sz w:val="24"/>
          <w:szCs w:val="24"/>
        </w:rPr>
      </w:pPr>
      <w:r w:rsidRPr="007C531B">
        <w:rPr>
          <w:rFonts w:ascii="Times New Roman" w:hAnsi="Times New Roman"/>
          <w:color w:val="5F6062"/>
          <w:sz w:val="24"/>
          <w:szCs w:val="24"/>
        </w:rPr>
        <w:t>Program jest zarejestrowany przez Urzędu Nadzoru Programów Emerytalnych - The Pensions Regulator, brytyjski organ regulacyjny ds. pracowniczych programów emerytalnych. The Pensions Regulator sprawuje nadzór nad prowadzeniem systemów emerytalnych i może interweniować w przypadkach, w których powiernicy, pracodawcy lub doradcy programu nie wywiązują się ze swoich obowiązków. Cele The Pensions Regulator obejmują poprawę zaufania wobec emerytur poprzez ochronę oszczędności członków i zachęcanie do utrzymywania wysokich standardów w zakresie prowadzenia programów emerytalnych.</w:t>
      </w:r>
    </w:p>
    <w:p w14:paraId="33B85918" w14:textId="77777777" w:rsidR="007C531B" w:rsidRPr="007C531B" w:rsidRDefault="007C531B" w:rsidP="007C531B">
      <w:pPr>
        <w:spacing w:after="100" w:afterAutospacing="1" w:line="240" w:lineRule="auto"/>
        <w:outlineLvl w:val="1"/>
        <w:rPr>
          <w:rFonts w:ascii="Times New Roman" w:hAnsi="Times New Roman"/>
          <w:color w:val="5F6062"/>
          <w:sz w:val="24"/>
          <w:szCs w:val="24"/>
        </w:rPr>
      </w:pPr>
      <w:r w:rsidRPr="007C531B">
        <w:rPr>
          <w:rFonts w:ascii="Times New Roman" w:hAnsi="Times New Roman"/>
          <w:color w:val="5F6062"/>
          <w:sz w:val="24"/>
          <w:szCs w:val="24"/>
        </w:rPr>
        <w:t>Powiernik zapewnia, że Program spełnia przepisy ustawy emerytalnej i innych regulacji pranych (wspierane przez Kodeksy Postępowania i wytyczne wydane przez organ The Pensions Regulator)</w:t>
      </w:r>
    </w:p>
    <w:p w14:paraId="423EABC2" w14:textId="77777777" w:rsidR="007C531B" w:rsidRPr="007C531B" w:rsidRDefault="007C531B" w:rsidP="007C531B">
      <w:pPr>
        <w:spacing w:after="100" w:afterAutospacing="1" w:line="240" w:lineRule="auto"/>
        <w:outlineLvl w:val="1"/>
        <w:rPr>
          <w:rFonts w:ascii="Times New Roman" w:hAnsi="Times New Roman"/>
          <w:color w:val="5F6062"/>
          <w:sz w:val="24"/>
          <w:szCs w:val="24"/>
        </w:rPr>
      </w:pPr>
      <w:r w:rsidRPr="007C531B">
        <w:rPr>
          <w:rFonts w:ascii="Times New Roman" w:hAnsi="Times New Roman"/>
          <w:color w:val="5F6062"/>
          <w:sz w:val="24"/>
          <w:szCs w:val="24"/>
        </w:rPr>
        <w:t xml:space="preserve">Ponadto Program jest autoryzowanym funduszem powierniczym i musi spełniać rygorystyczne bieżące wymagania mające na celu zwiększenie ochrony uczestników programu emerytalnego. Jest on ściśle nadzorowany przez organ The Pensions Regulator. Wymogi obejmują posiadanie odpowiednich osób zaangażowanych w prowadzenie programu, wystarczające rezerwy finansowe i niezawodne systemy. </w:t>
      </w:r>
    </w:p>
    <w:p w14:paraId="06E6654E" w14:textId="77777777" w:rsidR="007C531B" w:rsidRDefault="007C531B" w:rsidP="007C531B">
      <w:pPr>
        <w:spacing w:after="100" w:afterAutospacing="1" w:line="240" w:lineRule="auto"/>
        <w:outlineLvl w:val="1"/>
        <w:rPr>
          <w:rFonts w:ascii="Times New Roman" w:hAnsi="Times New Roman"/>
          <w:color w:val="5F6062"/>
          <w:sz w:val="24"/>
          <w:szCs w:val="24"/>
        </w:rPr>
      </w:pPr>
      <w:r w:rsidRPr="007C531B">
        <w:rPr>
          <w:rFonts w:ascii="Times New Roman" w:hAnsi="Times New Roman"/>
          <w:color w:val="5F6062"/>
          <w:sz w:val="24"/>
          <w:szCs w:val="24"/>
        </w:rPr>
        <w:t>Program jest również zarejestrowany do celów podatkowych w HM Revenue &amp; Customs. Zapewnia to korzystne opodatkowanie Twoich oszczędności.</w:t>
      </w:r>
    </w:p>
    <w:p w14:paraId="12973957" w14:textId="31FB0B1F" w:rsidR="005F5258" w:rsidRPr="005F5258" w:rsidRDefault="005F5258" w:rsidP="007C531B">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Co zrobić, jeśli coś pójdzie nie tak?</w:t>
      </w:r>
    </w:p>
    <w:p w14:paraId="541D08AC" w14:textId="77777777" w:rsidR="00C12710" w:rsidRPr="00C12710" w:rsidRDefault="00C12710" w:rsidP="00C12710">
      <w:pPr>
        <w:spacing w:after="100" w:afterAutospacing="1" w:line="240" w:lineRule="auto"/>
        <w:outlineLvl w:val="1"/>
        <w:rPr>
          <w:rFonts w:ascii="Times New Roman" w:hAnsi="Times New Roman"/>
          <w:color w:val="5F6062"/>
          <w:sz w:val="24"/>
          <w:szCs w:val="24"/>
        </w:rPr>
      </w:pPr>
      <w:bookmarkStart w:id="0" w:name="_Hlk528305706"/>
      <w:r w:rsidRPr="00C12710">
        <w:rPr>
          <w:rFonts w:ascii="Times New Roman" w:hAnsi="Times New Roman"/>
          <w:color w:val="5F6062"/>
          <w:sz w:val="24"/>
          <w:szCs w:val="24"/>
        </w:rPr>
        <w:t xml:space="preserve">Jeśli Twój pracodawca stałby się niewypłacalny, Twoje oszczędności emerytalne będą bezpieczne, ponieważ aktywa programu są rozdzielone prawnie, więc nie będą dostępne dla wierzycieli Twojego pracodawcy. </w:t>
      </w:r>
    </w:p>
    <w:p w14:paraId="78E27FEE" w14:textId="77777777" w:rsidR="00C12710" w:rsidRPr="00C12710" w:rsidRDefault="00C12710" w:rsidP="00C12710">
      <w:pPr>
        <w:spacing w:after="100" w:afterAutospacing="1" w:line="240" w:lineRule="auto"/>
        <w:outlineLvl w:val="1"/>
        <w:rPr>
          <w:rFonts w:ascii="Times New Roman" w:hAnsi="Times New Roman"/>
          <w:color w:val="5F6062"/>
          <w:sz w:val="24"/>
          <w:szCs w:val="24"/>
        </w:rPr>
      </w:pPr>
      <w:r w:rsidRPr="00C12710">
        <w:rPr>
          <w:rFonts w:ascii="Times New Roman" w:hAnsi="Times New Roman"/>
          <w:color w:val="5F6062"/>
          <w:sz w:val="24"/>
          <w:szCs w:val="24"/>
        </w:rPr>
        <w:t>Jeśli fundusz programu (People's Administration Services Limited) stałby się niewypłacalny, pula emerytalna jest chroniona. Powiernik może poszukać innego funduszu programu z wystarczającymi środkami finansowymi, aby program mógł działać jak zwykle. Powiernik może też zdecydować, że lepiej jest przenieść oszczędności emerytalne do innego autoryzowanego funduszu powierniczego (lub wybranego porozumienia emerytalnego), a Program może zostać zlikwidowany.</w:t>
      </w:r>
    </w:p>
    <w:p w14:paraId="2452B850" w14:textId="77777777" w:rsidR="00C12710" w:rsidRPr="00C12710" w:rsidRDefault="00C12710" w:rsidP="00C12710">
      <w:pPr>
        <w:spacing w:after="100" w:afterAutospacing="1" w:line="240" w:lineRule="auto"/>
        <w:outlineLvl w:val="1"/>
        <w:rPr>
          <w:rFonts w:ascii="Times New Roman" w:hAnsi="Times New Roman"/>
          <w:color w:val="5F6062"/>
          <w:sz w:val="24"/>
          <w:szCs w:val="24"/>
        </w:rPr>
      </w:pPr>
      <w:r w:rsidRPr="00C12710">
        <w:rPr>
          <w:rFonts w:ascii="Times New Roman" w:hAnsi="Times New Roman"/>
          <w:color w:val="5F6062"/>
          <w:sz w:val="24"/>
          <w:szCs w:val="24"/>
        </w:rPr>
        <w:t>W przypadku zakończenia Programu i jego likwidacji pula emerytalna jest chroniona. Twoje oszczędności emerytalne zostaną przeniesione do innego autoryzowanego funduszu powierniczego (lub do innego wybranego przez Ciebie rozwiązania emerytalnego). Nie można ich można ich wykorzystać do pokrycia kosztów likwidacji Programu.</w:t>
      </w:r>
    </w:p>
    <w:p w14:paraId="14758971" w14:textId="77777777" w:rsidR="00C12710" w:rsidRPr="00C12710" w:rsidRDefault="00C12710" w:rsidP="00C12710">
      <w:pPr>
        <w:spacing w:after="100" w:afterAutospacing="1" w:line="240" w:lineRule="auto"/>
        <w:outlineLvl w:val="1"/>
        <w:rPr>
          <w:rFonts w:ascii="Times New Roman" w:hAnsi="Times New Roman"/>
          <w:color w:val="5F6062"/>
          <w:sz w:val="24"/>
          <w:szCs w:val="24"/>
        </w:rPr>
      </w:pPr>
      <w:r w:rsidRPr="00C12710">
        <w:rPr>
          <w:rFonts w:ascii="Times New Roman" w:hAnsi="Times New Roman"/>
          <w:color w:val="5F6062"/>
          <w:sz w:val="24"/>
          <w:szCs w:val="24"/>
        </w:rPr>
        <w:t>Jeśli administrator Programu (People’s Administration Services Limited) stanie się niewypłacalny, Powiernik wyznaczy nowego administratora do obsługi programu.</w:t>
      </w:r>
    </w:p>
    <w:p w14:paraId="7C266640" w14:textId="77777777" w:rsidR="00C12710" w:rsidRPr="00C12710" w:rsidRDefault="00C12710" w:rsidP="00C12710">
      <w:pPr>
        <w:spacing w:after="100" w:afterAutospacing="1" w:line="240" w:lineRule="auto"/>
        <w:outlineLvl w:val="1"/>
        <w:rPr>
          <w:rFonts w:ascii="Times New Roman" w:hAnsi="Times New Roman"/>
          <w:color w:val="5F6062"/>
          <w:sz w:val="24"/>
          <w:szCs w:val="24"/>
        </w:rPr>
      </w:pPr>
      <w:r w:rsidRPr="00C12710">
        <w:rPr>
          <w:rFonts w:ascii="Times New Roman" w:hAnsi="Times New Roman"/>
          <w:color w:val="5F6062"/>
          <w:sz w:val="24"/>
          <w:szCs w:val="24"/>
        </w:rPr>
        <w:lastRenderedPageBreak/>
        <w:t>Jeżeli firma powiernicza stałaby się niewypłacalna, wyznaczeni zostaną nowi powiernicy. Nie wpłynie to na aktywa programu ani oszczędności emerytalne.</w:t>
      </w:r>
    </w:p>
    <w:p w14:paraId="682D99E9" w14:textId="77777777" w:rsidR="00C12710" w:rsidRPr="00C12710" w:rsidRDefault="00C12710" w:rsidP="00C12710">
      <w:pPr>
        <w:spacing w:after="100" w:afterAutospacing="1" w:line="240" w:lineRule="auto"/>
        <w:outlineLvl w:val="1"/>
        <w:rPr>
          <w:rFonts w:ascii="Times New Roman" w:hAnsi="Times New Roman"/>
          <w:color w:val="5F6062"/>
          <w:sz w:val="24"/>
          <w:szCs w:val="24"/>
        </w:rPr>
      </w:pPr>
      <w:r w:rsidRPr="00C12710">
        <w:rPr>
          <w:rFonts w:ascii="Times New Roman" w:hAnsi="Times New Roman"/>
          <w:color w:val="5F6062"/>
          <w:sz w:val="24"/>
          <w:szCs w:val="24"/>
        </w:rPr>
        <w:t>Jeśli zarządca, Amundi, Invesco, and State Street Global Advisers Limited (SSGA) lub inni wyznaczeni zarządcy inwestycyjni staną się niewypłacalni, zostaną wyznaczeni nowi zarządcy inwestycyjni. Możliwe jest, że inwestycje programu prowadzone przez Powiernika, w sytuacjach ekstremalnych, mogą mieć wpływ na niewypłacalność zarządcy inwestycyjnego. Niemniej jednak zapewniona została znaczna ochrona.</w:t>
      </w:r>
    </w:p>
    <w:p w14:paraId="387678CE" w14:textId="77777777" w:rsidR="00C12710" w:rsidRPr="00C12710" w:rsidRDefault="00C12710" w:rsidP="00C12710">
      <w:pPr>
        <w:spacing w:after="100" w:afterAutospacing="1" w:line="240" w:lineRule="auto"/>
        <w:outlineLvl w:val="1"/>
        <w:rPr>
          <w:rFonts w:ascii="Times New Roman" w:hAnsi="Times New Roman"/>
          <w:color w:val="5F6062"/>
          <w:sz w:val="24"/>
          <w:szCs w:val="24"/>
        </w:rPr>
      </w:pPr>
      <w:r w:rsidRPr="00C12710">
        <w:rPr>
          <w:rFonts w:ascii="Times New Roman" w:hAnsi="Times New Roman"/>
          <w:color w:val="5F6062"/>
          <w:sz w:val="24"/>
          <w:szCs w:val="24"/>
        </w:rPr>
        <w:t>Powiernik jest bezpośrednim prawnym właścicielem większości aktywów programu, które są zarządzane przez Amundi i Invesco w imieniu Powiernika. Northern Trust jest Powiernikiem inwestycyjnym Programu i odpowiada za świadczenie szeregu usług na rzecz Powiernika, w tym przechowywanie aktywów.</w:t>
      </w:r>
    </w:p>
    <w:p w14:paraId="572FCF88" w14:textId="77777777" w:rsidR="00C12710" w:rsidRDefault="00C12710" w:rsidP="00C12710">
      <w:pPr>
        <w:spacing w:after="100" w:afterAutospacing="1" w:line="240" w:lineRule="auto"/>
        <w:outlineLvl w:val="1"/>
        <w:rPr>
          <w:rFonts w:ascii="Times New Roman" w:hAnsi="Times New Roman"/>
          <w:color w:val="5F6062"/>
          <w:sz w:val="24"/>
          <w:szCs w:val="24"/>
        </w:rPr>
      </w:pPr>
      <w:r w:rsidRPr="00C12710">
        <w:rPr>
          <w:rFonts w:ascii="Times New Roman" w:hAnsi="Times New Roman"/>
          <w:color w:val="5F6062"/>
          <w:sz w:val="24"/>
          <w:szCs w:val="24"/>
        </w:rPr>
        <w:t xml:space="preserve">Fundusze zarządzane przez SSGA są inwestowane w wysoko cenione, główne fundusze inwestycyjne dostępne za pośrednictwem długoterminowej umowy ubezpieczeniowej z podmiotem Managed Pension Funds Limited. Jest to typowa struktura inwestycyjna wykorzystywana przez wiele funduszy emerytalnych w Wielkiej Brytanii stworzona, aby zapewnić lepszą ochronę oszczędności emerytalnych członków. </w:t>
      </w:r>
    </w:p>
    <w:p w14:paraId="0546AB30" w14:textId="68E2930A" w:rsidR="005F5258" w:rsidRPr="005F5258" w:rsidRDefault="005F5258" w:rsidP="00C12710">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Program gwarantowania usług finansowych</w:t>
      </w:r>
    </w:p>
    <w:p w14:paraId="48A63555" w14:textId="77777777" w:rsidR="00064A0E" w:rsidRDefault="005F5258" w:rsidP="00064A0E">
      <w:pPr>
        <w:spacing w:after="100" w:afterAutospacing="1" w:line="240" w:lineRule="auto"/>
        <w:rPr>
          <w:rFonts w:ascii="Times New Roman" w:hAnsi="Times New Roman"/>
          <w:color w:val="5F6062"/>
          <w:sz w:val="24"/>
          <w:szCs w:val="24"/>
        </w:rPr>
      </w:pPr>
      <w:r>
        <w:rPr>
          <w:rFonts w:ascii="Times New Roman" w:hAnsi="Times New Roman"/>
          <w:color w:val="5F6062"/>
          <w:sz w:val="24"/>
          <w:szCs w:val="24"/>
        </w:rPr>
        <w:t>Jeśli Managed Pension Funds Limited stanie się niewypłacalne, może być możliwe odzyskanie choć części deficytu z programu gwarantowania usług finansowych (The Financial Services Compensation Scheme – FSCS), chociaż uważamy, że ta opcja nie została jeszcze przetestowana. Więcej informacji można znaleźć na stronie </w:t>
      </w:r>
      <w:hyperlink r:id="rId7" w:history="1">
        <w:r>
          <w:rPr>
            <w:rFonts w:ascii="Times New Roman" w:hAnsi="Times New Roman"/>
            <w:color w:val="03667E"/>
            <w:sz w:val="24"/>
            <w:szCs w:val="24"/>
            <w:u w:val="single"/>
          </w:rPr>
          <w:t>www.fscs.org.uk</w:t>
        </w:r>
      </w:hyperlink>
      <w:r>
        <w:rPr>
          <w:rFonts w:ascii="Times New Roman" w:hAnsi="Times New Roman"/>
          <w:color w:val="5F6062"/>
          <w:sz w:val="24"/>
          <w:szCs w:val="24"/>
        </w:rPr>
        <w:t xml:space="preserve">. Należy zauważyć, że jeśli dojdzie do niewypłacalności tego rodzaju, która w ostatecznym rozrachunku ma szkodliwy wpływ na środki zgromadzone przez członków na emeryturę, byłoby to uważane za zjawisko skrajne. </w:t>
      </w:r>
      <w:r w:rsidR="00064A0E" w:rsidRPr="00064A0E">
        <w:rPr>
          <w:rFonts w:ascii="Times New Roman" w:hAnsi="Times New Roman"/>
          <w:color w:val="5F6062"/>
          <w:sz w:val="24"/>
          <w:szCs w:val="24"/>
        </w:rPr>
        <w:t>Powiernik programu poddaje wszystkich zarządzających inwestycjami starannej ocenie w oparciu o doradztwo inwestycyjne od skierowanej przez Financial Conduct Authority firmy doradczej autoryzowanej.</w:t>
      </w:r>
    </w:p>
    <w:p w14:paraId="4C308BD7" w14:textId="6628DCA9" w:rsidR="005F5258" w:rsidRPr="005F5258" w:rsidRDefault="005F5258" w:rsidP="00064A0E">
      <w:pPr>
        <w:spacing w:after="100" w:afterAutospacing="1" w:line="240" w:lineRule="auto"/>
        <w:rPr>
          <w:rFonts w:ascii="inherit" w:eastAsia="Times New Roman" w:hAnsi="inherit" w:cs="Times New Roman"/>
          <w:b/>
          <w:bCs/>
          <w:color w:val="00B8E4"/>
          <w:sz w:val="36"/>
          <w:szCs w:val="36"/>
        </w:rPr>
      </w:pPr>
      <w:r>
        <w:rPr>
          <w:rFonts w:ascii="inherit" w:hAnsi="inherit"/>
          <w:b/>
          <w:bCs/>
          <w:color w:val="00B8E4"/>
          <w:sz w:val="36"/>
          <w:szCs w:val="36"/>
        </w:rPr>
        <w:t>Renty na emeryturze</w:t>
      </w:r>
    </w:p>
    <w:bookmarkEnd w:id="0"/>
    <w:p w14:paraId="0BA9BBDF" w14:textId="5D58923E" w:rsidR="009C66C6" w:rsidRDefault="00221BDC" w:rsidP="00221BDC">
      <w:pPr>
        <w:spacing w:after="100" w:afterAutospacing="1" w:line="240" w:lineRule="auto"/>
      </w:pPr>
      <w:r w:rsidRPr="00221BDC">
        <w:rPr>
          <w:rFonts w:ascii="Times New Roman" w:hAnsi="Times New Roman"/>
          <w:color w:val="5F6062"/>
          <w:sz w:val="24"/>
          <w:szCs w:val="24"/>
        </w:rPr>
        <w:t>Niektórzy członkowie, którzy pobierają świadczenia emerytalne z programu, robią to, zabezpieczając stałą wypłatę emerytury, znaną jako renta, w firmie ubezpieczeniowej. W przypadku niewywiązania się przez firmę ubezpieczeniową ze swoich zobowiązań z powodu niewypłacalności, członkom może przysługiwać odszkodowanie z programu gwarantowania usług finansowych. Najwyższy poziom ochrony w FSCS wynosi obecnie 100% dochodu emerytalnego otrzymywanego z tego produktu w formie świadczenia przypadającego do zapłaty.</w:t>
      </w:r>
    </w:p>
    <w:sectPr w:rsidR="009C6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E0E06"/>
    <w:multiLevelType w:val="hybridMultilevel"/>
    <w:tmpl w:val="ACFA74B6"/>
    <w:lvl w:ilvl="0" w:tplc="347CD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23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wMjQ0NjEzMbUwMzRX0lEKTi0uzszPAykwrgUAV2QorywAAAA="/>
  </w:docVars>
  <w:rsids>
    <w:rsidRoot w:val="005F5258"/>
    <w:rsid w:val="00064A0E"/>
    <w:rsid w:val="0009546B"/>
    <w:rsid w:val="000A3E1F"/>
    <w:rsid w:val="00104984"/>
    <w:rsid w:val="0015644A"/>
    <w:rsid w:val="0017081B"/>
    <w:rsid w:val="00221BDC"/>
    <w:rsid w:val="00222C15"/>
    <w:rsid w:val="002979B3"/>
    <w:rsid w:val="002B1812"/>
    <w:rsid w:val="002B4875"/>
    <w:rsid w:val="002D022B"/>
    <w:rsid w:val="0034348A"/>
    <w:rsid w:val="003704DE"/>
    <w:rsid w:val="003F3BCE"/>
    <w:rsid w:val="00455B5F"/>
    <w:rsid w:val="004B6A4E"/>
    <w:rsid w:val="004C532F"/>
    <w:rsid w:val="00532361"/>
    <w:rsid w:val="005415FF"/>
    <w:rsid w:val="00582925"/>
    <w:rsid w:val="005F5258"/>
    <w:rsid w:val="006431D3"/>
    <w:rsid w:val="007760CB"/>
    <w:rsid w:val="00784B82"/>
    <w:rsid w:val="007C3898"/>
    <w:rsid w:val="007C531B"/>
    <w:rsid w:val="008C60BA"/>
    <w:rsid w:val="00971F06"/>
    <w:rsid w:val="009C66C6"/>
    <w:rsid w:val="009F712C"/>
    <w:rsid w:val="00AB064B"/>
    <w:rsid w:val="00AC3AC2"/>
    <w:rsid w:val="00AC5832"/>
    <w:rsid w:val="00B03FFB"/>
    <w:rsid w:val="00B109BA"/>
    <w:rsid w:val="00C12710"/>
    <w:rsid w:val="00C35D80"/>
    <w:rsid w:val="00C3649B"/>
    <w:rsid w:val="00C54D01"/>
    <w:rsid w:val="00D720EE"/>
    <w:rsid w:val="00D72472"/>
    <w:rsid w:val="00DA6B19"/>
    <w:rsid w:val="00DF13F5"/>
    <w:rsid w:val="00E57528"/>
    <w:rsid w:val="00E71353"/>
    <w:rsid w:val="00EC5D58"/>
    <w:rsid w:val="00EF130C"/>
    <w:rsid w:val="00F05299"/>
    <w:rsid w:val="00FB4A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541D"/>
  <w15:chartTrackingRefBased/>
  <w15:docId w15:val="{DAD792F7-7599-435D-BC70-9DBAFBA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258"/>
    <w:rPr>
      <w:color w:val="0000FF" w:themeColor="hyperlink"/>
      <w:u w:val="single"/>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styleId="CommentReference">
    <w:name w:val="annotation reference"/>
    <w:basedOn w:val="DefaultParagraphFont"/>
    <w:uiPriority w:val="99"/>
    <w:semiHidden/>
    <w:unhideWhenUsed/>
    <w:rsid w:val="005F5258"/>
    <w:rPr>
      <w:sz w:val="16"/>
      <w:szCs w:val="16"/>
    </w:rPr>
  </w:style>
  <w:style w:type="paragraph" w:styleId="CommentText">
    <w:name w:val="annotation text"/>
    <w:basedOn w:val="Normal"/>
    <w:link w:val="CommentTextChar"/>
    <w:uiPriority w:val="99"/>
    <w:unhideWhenUsed/>
    <w:rsid w:val="005F5258"/>
    <w:pPr>
      <w:spacing w:line="240" w:lineRule="auto"/>
    </w:pPr>
    <w:rPr>
      <w:sz w:val="20"/>
      <w:szCs w:val="20"/>
    </w:rPr>
  </w:style>
  <w:style w:type="character" w:customStyle="1" w:styleId="CommentTextChar">
    <w:name w:val="Comment Text Char"/>
    <w:basedOn w:val="DefaultParagraphFont"/>
    <w:link w:val="CommentText"/>
    <w:uiPriority w:val="99"/>
    <w:rsid w:val="005F5258"/>
    <w:rPr>
      <w:sz w:val="20"/>
      <w:szCs w:val="20"/>
    </w:rPr>
  </w:style>
  <w:style w:type="paragraph" w:styleId="CommentSubject">
    <w:name w:val="annotation subject"/>
    <w:basedOn w:val="CommentText"/>
    <w:next w:val="CommentText"/>
    <w:link w:val="CommentSubjectChar"/>
    <w:uiPriority w:val="99"/>
    <w:semiHidden/>
    <w:unhideWhenUsed/>
    <w:rsid w:val="005F5258"/>
    <w:rPr>
      <w:b/>
      <w:bCs/>
    </w:rPr>
  </w:style>
  <w:style w:type="character" w:customStyle="1" w:styleId="CommentSubjectChar">
    <w:name w:val="Comment Subject Char"/>
    <w:basedOn w:val="CommentTextChar"/>
    <w:link w:val="CommentSubject"/>
    <w:uiPriority w:val="99"/>
    <w:semiHidden/>
    <w:rsid w:val="005F5258"/>
    <w:rPr>
      <w:b/>
      <w:bCs/>
      <w:sz w:val="20"/>
      <w:szCs w:val="20"/>
    </w:rPr>
  </w:style>
  <w:style w:type="paragraph" w:styleId="BalloonText">
    <w:name w:val="Balloon Text"/>
    <w:basedOn w:val="Normal"/>
    <w:link w:val="BalloonTextChar"/>
    <w:uiPriority w:val="99"/>
    <w:semiHidden/>
    <w:unhideWhenUsed/>
    <w:rsid w:val="005F5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258"/>
    <w:rPr>
      <w:rFonts w:ascii="Segoe UI" w:hAnsi="Segoe UI" w:cs="Segoe UI"/>
      <w:sz w:val="18"/>
      <w:szCs w:val="18"/>
    </w:rPr>
  </w:style>
  <w:style w:type="paragraph" w:styleId="Revision">
    <w:name w:val="Revision"/>
    <w:hidden/>
    <w:uiPriority w:val="99"/>
    <w:semiHidden/>
    <w:rsid w:val="00EF130C"/>
    <w:pPr>
      <w:spacing w:after="0" w:line="240" w:lineRule="auto"/>
    </w:pPr>
  </w:style>
  <w:style w:type="character" w:customStyle="1" w:styleId="cf01">
    <w:name w:val="cf01"/>
    <w:basedOn w:val="DefaultParagraphFont"/>
    <w:rsid w:val="00B109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2130">
      <w:bodyDiv w:val="1"/>
      <w:marLeft w:val="0"/>
      <w:marRight w:val="0"/>
      <w:marTop w:val="0"/>
      <w:marBottom w:val="0"/>
      <w:divBdr>
        <w:top w:val="none" w:sz="0" w:space="0" w:color="auto"/>
        <w:left w:val="none" w:sz="0" w:space="0" w:color="auto"/>
        <w:bottom w:val="none" w:sz="0" w:space="0" w:color="auto"/>
        <w:right w:val="none" w:sz="0" w:space="0" w:color="auto"/>
      </w:divBdr>
    </w:div>
    <w:div w:id="440498299">
      <w:bodyDiv w:val="1"/>
      <w:marLeft w:val="0"/>
      <w:marRight w:val="0"/>
      <w:marTop w:val="0"/>
      <w:marBottom w:val="0"/>
      <w:divBdr>
        <w:top w:val="none" w:sz="0" w:space="0" w:color="auto"/>
        <w:left w:val="none" w:sz="0" w:space="0" w:color="auto"/>
        <w:bottom w:val="none" w:sz="0" w:space="0" w:color="auto"/>
        <w:right w:val="none" w:sz="0" w:space="0" w:color="auto"/>
      </w:divBdr>
      <w:divsChild>
        <w:div w:id="1844970230">
          <w:marLeft w:val="0"/>
          <w:marRight w:val="0"/>
          <w:marTop w:val="0"/>
          <w:marBottom w:val="0"/>
          <w:divBdr>
            <w:top w:val="none" w:sz="0" w:space="0" w:color="auto"/>
            <w:left w:val="none" w:sz="0" w:space="0" w:color="auto"/>
            <w:bottom w:val="none" w:sz="0" w:space="0" w:color="auto"/>
            <w:right w:val="none" w:sz="0" w:space="0" w:color="auto"/>
          </w:divBdr>
        </w:div>
      </w:divsChild>
    </w:div>
    <w:div w:id="1641495099">
      <w:bodyDiv w:val="1"/>
      <w:marLeft w:val="0"/>
      <w:marRight w:val="0"/>
      <w:marTop w:val="0"/>
      <w:marBottom w:val="0"/>
      <w:divBdr>
        <w:top w:val="none" w:sz="0" w:space="0" w:color="auto"/>
        <w:left w:val="none" w:sz="0" w:space="0" w:color="auto"/>
        <w:bottom w:val="none" w:sz="0" w:space="0" w:color="auto"/>
        <w:right w:val="none" w:sz="0" w:space="0" w:color="auto"/>
      </w:divBdr>
    </w:div>
    <w:div w:id="1984700307">
      <w:bodyDiv w:val="1"/>
      <w:marLeft w:val="0"/>
      <w:marRight w:val="0"/>
      <w:marTop w:val="0"/>
      <w:marBottom w:val="0"/>
      <w:divBdr>
        <w:top w:val="none" w:sz="0" w:space="0" w:color="auto"/>
        <w:left w:val="none" w:sz="0" w:space="0" w:color="auto"/>
        <w:bottom w:val="none" w:sz="0" w:space="0" w:color="auto"/>
        <w:right w:val="none" w:sz="0" w:space="0" w:color="auto"/>
      </w:divBdr>
      <w:divsChild>
        <w:div w:id="47136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peoplespension.co.uk/the-peoples-pension-trustee/" TargetMode="External"/><Relationship Id="rId5" Type="http://schemas.openxmlformats.org/officeDocument/2006/relationships/hyperlink" Target="https://thepeoplespension.co.uk/accessibility/information-in-other-languag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1094</Words>
  <Characters>6236</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Mulji</dc:creator>
  <cp:keywords/>
  <dc:description/>
  <cp:lastModifiedBy>David Browne</cp:lastModifiedBy>
  <cp:revision>11</cp:revision>
  <dcterms:created xsi:type="dcterms:W3CDTF">2025-05-22T13:59:00Z</dcterms:created>
  <dcterms:modified xsi:type="dcterms:W3CDTF">2025-05-22T15:29:00Z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80b52-230a-4552-8f6d-db96c3cf49ed_Enabled">
    <vt:lpwstr>true</vt:lpwstr>
  </property>
  <property fmtid="{D5CDD505-2E9C-101B-9397-08002B2CF9AE}" pid="3" name="MSIP_Label_fd280b52-230a-4552-8f6d-db96c3cf49ed_SetDate">
    <vt:lpwstr>2025-05-22T13:59:22Z</vt:lpwstr>
  </property>
  <property fmtid="{D5CDD505-2E9C-101B-9397-08002B2CF9AE}" pid="4" name="MSIP_Label_fd280b52-230a-4552-8f6d-db96c3cf49ed_Method">
    <vt:lpwstr>Privileged</vt:lpwstr>
  </property>
  <property fmtid="{D5CDD505-2E9C-101B-9397-08002B2CF9AE}" pid="5" name="MSIP_Label_fd280b52-230a-4552-8f6d-db96c3cf49ed_Name">
    <vt:lpwstr>General</vt:lpwstr>
  </property>
  <property fmtid="{D5CDD505-2E9C-101B-9397-08002B2CF9AE}" pid="6" name="MSIP_Label_fd280b52-230a-4552-8f6d-db96c3cf49ed_SiteId">
    <vt:lpwstr>a6bb8d5c-8a6a-40cc-bcbd-d0aa3550277c</vt:lpwstr>
  </property>
  <property fmtid="{D5CDD505-2E9C-101B-9397-08002B2CF9AE}" pid="7" name="MSIP_Label_fd280b52-230a-4552-8f6d-db96c3cf49ed_ActionId">
    <vt:lpwstr>8c95924c-3d86-406e-8ea1-2a3ceb65d342</vt:lpwstr>
  </property>
  <property fmtid="{D5CDD505-2E9C-101B-9397-08002B2CF9AE}" pid="8" name="MSIP_Label_fd280b52-230a-4552-8f6d-db96c3cf49ed_ContentBits">
    <vt:lpwstr>0</vt:lpwstr>
  </property>
</Properties>
</file>